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F0" w:rsidRPr="003F24F0" w:rsidRDefault="003F24F0" w:rsidP="003F24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F2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Donne nei </w:t>
      </w:r>
      <w:proofErr w:type="spellStart"/>
      <w:r w:rsidRPr="003F2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cda</w:t>
      </w:r>
      <w:proofErr w:type="spellEnd"/>
      <w:r w:rsidRPr="003F2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il primo passo è fatto. Ma il potere? </w:t>
      </w:r>
      <w:r w:rsidR="00BB14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</w:r>
      <w:r w:rsidR="00BB1438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C</w:t>
      </w:r>
      <w:r w:rsidR="00BB1438" w:rsidRPr="00BB1438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orriere della </w:t>
      </w:r>
      <w:r w:rsidR="00BB1438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S</w:t>
      </w:r>
      <w:r w:rsidR="00BB1438" w:rsidRPr="00BB1438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era</w:t>
      </w:r>
      <w:r w:rsidR="00BB1438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 – 23 febbraio 2019 – 27ma ora</w:t>
      </w:r>
      <w:bookmarkStart w:id="0" w:name="_GoBack"/>
      <w:bookmarkEnd w:id="0"/>
    </w:p>
    <w:p w:rsidR="003F24F0" w:rsidRPr="003F24F0" w:rsidRDefault="003F24F0" w:rsidP="003F24F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24F0" w:rsidRPr="003F24F0" w:rsidRDefault="003F24F0" w:rsidP="003F24F0">
      <w:pPr>
        <w:shd w:val="clear" w:color="auto" w:fill="D7E1D9"/>
        <w:spacing w:after="0" w:line="240" w:lineRule="auto"/>
        <w:rPr>
          <w:rFonts w:ascii="main-condensed_regular" w:eastAsia="Times New Roman" w:hAnsi="main-condensed_regular" w:cs="Times New Roman"/>
          <w:caps/>
          <w:vanish/>
          <w:color w:val="528351"/>
          <w:sz w:val="17"/>
          <w:szCs w:val="17"/>
          <w:lang w:eastAsia="it-IT"/>
        </w:rPr>
      </w:pPr>
      <w:r w:rsidRPr="003F24F0">
        <w:rPr>
          <w:rFonts w:ascii="main-condensed_regular" w:eastAsia="Times New Roman" w:hAnsi="main-condensed_regular" w:cs="Times New Roman"/>
          <w:caps/>
          <w:vanish/>
          <w:color w:val="528351"/>
          <w:sz w:val="17"/>
          <w:szCs w:val="17"/>
          <w:lang w:eastAsia="it-IT"/>
        </w:rPr>
        <w:t xml:space="preserve">Stampa </w:t>
      </w:r>
    </w:p>
    <w:p w:rsidR="003F24F0" w:rsidRPr="003F24F0" w:rsidRDefault="003F24F0" w:rsidP="003F24F0">
      <w:pPr>
        <w:shd w:val="clear" w:color="auto" w:fill="D7E1D9"/>
        <w:spacing w:after="0" w:line="240" w:lineRule="auto"/>
        <w:rPr>
          <w:rFonts w:ascii="main-condensed_regular" w:eastAsia="Times New Roman" w:hAnsi="main-condensed_regular" w:cs="Times New Roman"/>
          <w:caps/>
          <w:vanish/>
          <w:color w:val="528351"/>
          <w:sz w:val="17"/>
          <w:szCs w:val="17"/>
          <w:lang w:eastAsia="it-IT"/>
        </w:rPr>
      </w:pPr>
      <w:r w:rsidRPr="003F24F0">
        <w:rPr>
          <w:rFonts w:ascii="main-condensed_regular" w:eastAsia="Times New Roman" w:hAnsi="main-condensed_regular" w:cs="Times New Roman"/>
          <w:caps/>
          <w:vanish/>
          <w:color w:val="528351"/>
          <w:sz w:val="17"/>
          <w:szCs w:val="17"/>
          <w:lang w:eastAsia="it-IT"/>
        </w:rPr>
        <w:t xml:space="preserve">Email </w:t>
      </w:r>
    </w:p>
    <w:p w:rsidR="003F24F0" w:rsidRPr="003F24F0" w:rsidRDefault="003F24F0" w:rsidP="003F24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9ABEF"/>
          <w:sz w:val="20"/>
          <w:szCs w:val="20"/>
          <w:lang w:eastAsia="it-IT"/>
        </w:rPr>
      </w:pPr>
      <w:r w:rsidRPr="003F24F0">
        <w:rPr>
          <w:rFonts w:ascii="Times New Roman" w:eastAsia="Times New Roman" w:hAnsi="Times New Roman" w:cs="Times New Roman"/>
          <w:b/>
          <w:bCs/>
          <w:color w:val="29ABEF"/>
          <w:sz w:val="20"/>
          <w:szCs w:val="20"/>
          <w:lang w:eastAsia="it-IT"/>
        </w:rPr>
        <w:t xml:space="preserve">Livia A. </w:t>
      </w:r>
      <w:proofErr w:type="spellStart"/>
      <w:r w:rsidRPr="003F24F0">
        <w:rPr>
          <w:rFonts w:ascii="Times New Roman" w:eastAsia="Times New Roman" w:hAnsi="Times New Roman" w:cs="Times New Roman"/>
          <w:b/>
          <w:bCs/>
          <w:color w:val="29ABEF"/>
          <w:sz w:val="20"/>
          <w:szCs w:val="20"/>
          <w:lang w:eastAsia="it-IT"/>
        </w:rPr>
        <w:t>Aliberti</w:t>
      </w:r>
      <w:proofErr w:type="spellEnd"/>
      <w:r w:rsidRPr="003F24F0">
        <w:rPr>
          <w:rFonts w:ascii="Times New Roman" w:eastAsia="Times New Roman" w:hAnsi="Times New Roman" w:cs="Times New Roman"/>
          <w:b/>
          <w:bCs/>
          <w:color w:val="29ABEF"/>
          <w:sz w:val="20"/>
          <w:szCs w:val="20"/>
          <w:lang w:eastAsia="it-IT"/>
        </w:rPr>
        <w:t xml:space="preserve">, Luisa </w:t>
      </w:r>
      <w:proofErr w:type="spellStart"/>
      <w:r w:rsidRPr="003F24F0">
        <w:rPr>
          <w:rFonts w:ascii="Times New Roman" w:eastAsia="Times New Roman" w:hAnsi="Times New Roman" w:cs="Times New Roman"/>
          <w:b/>
          <w:bCs/>
          <w:color w:val="29ABEF"/>
          <w:sz w:val="20"/>
          <w:szCs w:val="20"/>
          <w:lang w:eastAsia="it-IT"/>
        </w:rPr>
        <w:t>Pronzato</w:t>
      </w:r>
      <w:proofErr w:type="spellEnd"/>
      <w:r w:rsidRPr="003F24F0">
        <w:rPr>
          <w:rFonts w:ascii="Times New Roman" w:eastAsia="Times New Roman" w:hAnsi="Times New Roman" w:cs="Times New Roman"/>
          <w:b/>
          <w:bCs/>
          <w:color w:val="29ABEF"/>
          <w:sz w:val="20"/>
          <w:szCs w:val="20"/>
          <w:lang w:eastAsia="it-IT"/>
        </w:rPr>
        <w:t>, Maria Silvia Sacchi</w:t>
      </w:r>
    </w:p>
    <w:p w:rsidR="003F24F0" w:rsidRPr="003F24F0" w:rsidRDefault="003F24F0" w:rsidP="003F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4F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38261B6" wp14:editId="1BEB6C9E">
            <wp:extent cx="5062434" cy="2781300"/>
            <wp:effectExtent l="0" t="0" r="5080" b="0"/>
            <wp:docPr id="1" name="Immagine 1" descr="https://images2-27esimaora.corriereobjects.it/methode_image/2019/02/23/27esimaOra/Foto%2027esimaOra/190224INT03G02_01.png?v=20190223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2-27esimaora.corriereobjects.it/methode_image/2019/02/23/27esimaOra/Foto%2027esimaOra/190224INT03G02_01.png?v=201902232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65" cy="27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F0" w:rsidRPr="003F24F0" w:rsidRDefault="003F24F0" w:rsidP="003F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guardate la tabella nella pagina a fianco e vedete una fila di «zero», ecco: non è un errore grafico. È, invece, il segno evidente che qualcosa non va. E cioè che l’economia è ancora chiusa alle donne. Che si passi dalla guida di una grande compagnia internazionale a quella dell’organismo di controllo dei mercati fino alle maggiori università di economia, i nomi di donne sono prossimi, appunto, allo zero. Lo erano 10 anni fa e lo sono oggi. Quella che è cambiata nell’ultimo decennio è la presenza di donne nei consigli di amministrazione — lo si vede con chiarezza nel grafico — ma questo è il frutto di normative che ne hanno imposto (come in Italia o in Francia) o spinto (come in Spagna) o suggerito (come in Gran Bretagna) la presenza. </w:t>
      </w:r>
    </w:p>
    <w:p w:rsidR="003F24F0" w:rsidRPr="003F24F0" w:rsidRDefault="003F24F0" w:rsidP="003F24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F24F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Il confronto tra Paesi europei </w:t>
      </w:r>
    </w:p>
    <w:p w:rsidR="003F24F0" w:rsidRPr="003F24F0" w:rsidRDefault="003F24F0" w:rsidP="003F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Proprio di quote di genere si discute in queste settimane in Italia. La legge che le ha introdotte — la Golfo-Mosca del 2011, entrata in vigore nel 2012 — si avvia verso la sua scadenza, essendo stata pensata come temporanea, ovvero vincolante per tre mandati di organo sociale (tipicamente, il consiglio di amministrazione e il collegio sindacale). Per questo a gennaio, prima firmataria Cristina Rossello (Forza Italia), è stata presentata la proposta di proroga della legge per altri tre mandati, con l’obiettivo di far assestare il processo culturale. </w:t>
      </w:r>
    </w:p>
    <w:p w:rsidR="003F24F0" w:rsidRPr="003F24F0" w:rsidRDefault="003F24F0" w:rsidP="003F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vista del dibattito che si sta avviando il Corriere ha voluto capire cosa è successo tra il 2008 e il 2018 in quattro Paesi europei con normative differenti. In pagina sono pubblicati solo i primi 10 maggiori gruppi per capitalizzazione ma l’analisi ha riguardato le prime 30 società e le istituzioni economiche di questi Stati. </w:t>
      </w:r>
    </w:p>
    <w:p w:rsidR="003F24F0" w:rsidRPr="003F24F0" w:rsidRDefault="003F24F0" w:rsidP="003F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4F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0ECCA4B0" wp14:editId="5BD6A4F0">
            <wp:extent cx="3333750" cy="3552825"/>
            <wp:effectExtent l="0" t="0" r="0" b="9525"/>
            <wp:docPr id="2" name="Immagine 2" descr="https://images2-27esimaora.corriereobjects.it/methode_image/2019/02/23/27esimaOra/Foto%2027esimaOra/190224INT03G01_01.png?v=20190223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2-27esimaora.corriereobjects.it/methode_image/2019/02/23/27esimaOra/Foto%2027esimaOra/190224INT03G01_01.png?v=201902232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F0" w:rsidRPr="003F24F0" w:rsidRDefault="003F24F0" w:rsidP="003F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 numeri dicono che oggi siamo a metà strada: un primo pezzo è stato compiuto, adesso occorre compiere l’altro. Far sì, cioè, che le donne non si limitino a fare i consiglieri indipendenti (compito comunque importante: guardate il grafico dell’Italia com’era 10 anni fa) ma assumano ruoli da presidente e soprattutto da amministratore delegato. Essere al vertice permette di far cambiare cultura, processi e organizzazione: al contrario, in assenza di una spinta di presidente e amministratore delegato, poco possono fare i consiglieri, soprattutto se si trovano in minoranza numerica, come ha ricordato la stessa </w:t>
      </w:r>
      <w:proofErr w:type="spellStart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>Consob</w:t>
      </w:r>
      <w:proofErr w:type="spellEnd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suggerendo di avere non meno di due donne in ogni Cda. Insomma, l’analisi suggerisce che non bisogna interrompere il processo che si è avviato, perché occorre tempo alla piramide di </w:t>
      </w:r>
      <w:proofErr w:type="spellStart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>ri</w:t>
      </w:r>
      <w:proofErr w:type="spellEnd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-bilanciarsi. Pensare che un cambiamento culturale di tale portata sia già metabolizzato è ingenuo. </w:t>
      </w:r>
    </w:p>
    <w:p w:rsidR="003F24F0" w:rsidRPr="003F24F0" w:rsidRDefault="003F24F0" w:rsidP="003F24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F24F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Cosa fare adesso </w:t>
      </w:r>
    </w:p>
    <w:p w:rsidR="003F24F0" w:rsidRPr="003F24F0" w:rsidRDefault="003F24F0" w:rsidP="003F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Meglio le quote per legge o la moral suasion? In Gran Bretagna, Paese molto avanti in tema di uguaglianza di genere, non esiste un obbligo e non esiste sanzione. Eppure, pur partendo da una base già molto più larga rispetto a quella davvero minima dell’Italia nel 2008, non ha avuto risultati molto più importanti di quelli del nostro Paese: tra i primi 10 gruppi annovera una sola </w:t>
      </w:r>
      <w:proofErr w:type="spellStart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>ceo</w:t>
      </w:r>
      <w:proofErr w:type="spellEnd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tre su 40 società, mentre è del tutto carente come presidenti. L’Italia ha visto assegnare alle donne il ruolo importante di coordinamento del consiglio, ovvero di presidente: due sulle prime 10, 7 sulle 40 società del </w:t>
      </w:r>
      <w:proofErr w:type="spellStart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>FtseMib</w:t>
      </w:r>
      <w:proofErr w:type="spellEnd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Solo una </w:t>
      </w:r>
      <w:proofErr w:type="spellStart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l’ad</w:t>
      </w:r>
      <w:proofErr w:type="spellEnd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invece, Micaela Le </w:t>
      </w:r>
      <w:proofErr w:type="spellStart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>Divelec</w:t>
      </w:r>
      <w:proofErr w:type="spellEnd"/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Ferragamo. L’analisi realizzata mostra, poi, un altro aspetto: perché la norma funzioni al suo meglio è fondamentale che vi siano sanzioni per chi non si adegua. Lo dimostra la Spagna che tra tutti i Paesi considerati nello studio è quella che ha fatto meno passi avanti. Inutile, insomma, sperare che il cambiamento avvenga da solo. E, d’altra parte, è comprensibile: non c’è niente di più difficile da attuare che lasciare situazioni consolidate. Salvo poi domandarsi come mai non ci si è mossi prima.</w:t>
      </w: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(ha collaborato Angela Lupo)</w:t>
      </w: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24F0" w:rsidRPr="003F24F0" w:rsidRDefault="003F24F0" w:rsidP="003F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4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Metodo utilizzato per analisi delle società quotate </w:t>
      </w: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Innanzitutto è stato selezionato il campione dei Paesi, scegliendo oltre l’Italia Paesi europei con regolamentazioni differenti in termini di parità di accesso agli organi sociali. 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Era particolarmente importante comparare gli effetti sui numeri e sulla distribuzione delle cariche di “potere” di un impianto normativo severo sia come soglia di accesso che come apparato sanzionatorio piuttosto che morbido e meno rigoroso; è stata così scelta la Francia che con la Legge “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Copé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-Zimmermann” n°2011-103 del gennaio prevede a regime il 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40% di quota femminile e l’annullamento delle nomine nonché la sospensione della remunerazione; la Spagna, dove “The 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Effective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Equality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Act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2007” non contiene previsioni obbligatorie in caso di mancato raggiungimento delle previsioni di equilibrio di generi; l’Inghilterra, dove il Governo, tramite l’opera di Lord Davies, ha implementato delle raccomandazioni e una opera di moral suasion.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 xml:space="preserve">E’ stato dunque selezionato il paniere delle società, scegliendo di concentrarsi sul principale indice di borsa nei 4 paesi dunque FTSE 100 – dove sono state considerate le prime 40 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societa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per capitalizzazione, FTSE Mib, 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Ibex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35 e CAC 40. 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Per ogni società del paniere cosi costruito si sono estratti i principali dati relativi alla capitalizzazione ad oggi, agli organi sociali, dimensione, genere dei componenti, genere delle principali cariche ovvero Chair (presidente) e AD.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 xml:space="preserve">La composizione attuale è stata confrontata con la situazione al 2008 , un anno in cui di iniziative di genere si parlava veramente poco e che poteva essere considerato l’anno zero dell’indagine. La ricerca ha utilizzato informazioni online provenienti dai siti delle società quotate e dalle Borse dei vari Paesi. 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 xml:space="preserve">Si è proceduto poi ad assicurare la coerenza di sistemi di 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governance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 xml:space="preserve">In Francia le società possono scegliere tra sistema duale con consiglio di sorveglianza e di gestione e sistema a consiglio di amministrazione (monistico) . 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In Italia le scelte sono tre, tradizionale duale e monistico.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 xml:space="preserve">E’ stata dunque fatta la scelta di escludere le società a sistema duale dal campione per assicurare la coerenza delle dimensioni, consiglio di gestione e di sorveglianza tendono infatti ad avere delle dimensioni diverse dal consiglio di amministrazione sia del monistico che tradizionale. Si è dunque arrivati ad un database che è stato elaborato sotto vari aspetti, </w:t>
      </w:r>
      <w:proofErr w:type="spellStart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cosi’</w:t>
      </w:r>
      <w:proofErr w:type="spellEnd"/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come presentati nell’articolo. </w:t>
      </w:r>
      <w:r w:rsidRPr="003F24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E’ stato infine estratto un campione delle prime 10.</w:t>
      </w:r>
      <w:r w:rsidRPr="003F24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E2EFA" w:rsidRDefault="00FE2EFA"/>
    <w:sectPr w:rsidR="00FE2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-condensed_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85"/>
    <w:rsid w:val="00023802"/>
    <w:rsid w:val="003F24F0"/>
    <w:rsid w:val="005D1485"/>
    <w:rsid w:val="00BB1438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02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7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52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198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</w:div>
                      </w:divsChild>
                    </w:div>
                    <w:div w:id="1348287072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5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</dc:creator>
  <cp:keywords/>
  <dc:description/>
  <cp:lastModifiedBy>Floriana</cp:lastModifiedBy>
  <cp:revision>3</cp:revision>
  <dcterms:created xsi:type="dcterms:W3CDTF">2019-03-04T11:20:00Z</dcterms:created>
  <dcterms:modified xsi:type="dcterms:W3CDTF">2019-03-05T10:50:00Z</dcterms:modified>
</cp:coreProperties>
</file>