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7DB" w:rsidRDefault="007937DB" w:rsidP="00F8608F">
      <w:pPr>
        <w:spacing w:line="276" w:lineRule="auto"/>
        <w:jc w:val="both"/>
        <w:rPr>
          <w:rFonts w:asciiTheme="minorHAnsi" w:hAnsiTheme="minorHAnsi" w:cstheme="minorHAnsi"/>
          <w:b/>
          <w:bCs/>
          <w:i/>
          <w:iCs/>
          <w:sz w:val="24"/>
          <w:szCs w:val="24"/>
        </w:rPr>
      </w:pPr>
      <w:r>
        <w:rPr>
          <w:rFonts w:asciiTheme="minorHAnsi" w:hAnsiTheme="minorHAnsi" w:cstheme="minorHAnsi"/>
          <w:b/>
          <w:bCs/>
          <w:i/>
          <w:iCs/>
          <w:noProof/>
          <w:sz w:val="24"/>
          <w:szCs w:val="24"/>
        </w:rPr>
        <w:drawing>
          <wp:anchor distT="0" distB="0" distL="114300" distR="114300" simplePos="0" relativeHeight="251658240" behindDoc="0" locked="0" layoutInCell="1" allowOverlap="1">
            <wp:simplePos x="0" y="0"/>
            <wp:positionH relativeFrom="margin">
              <wp:posOffset>2141855</wp:posOffset>
            </wp:positionH>
            <wp:positionV relativeFrom="paragraph">
              <wp:posOffset>5715</wp:posOffset>
            </wp:positionV>
            <wp:extent cx="1574800" cy="135318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80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F8608F">
      <w:pPr>
        <w:spacing w:line="276" w:lineRule="auto"/>
        <w:jc w:val="both"/>
        <w:rPr>
          <w:rFonts w:asciiTheme="minorHAnsi" w:hAnsiTheme="minorHAnsi" w:cstheme="minorHAnsi"/>
          <w:b/>
          <w:bCs/>
          <w:i/>
          <w:iCs/>
          <w:sz w:val="24"/>
          <w:szCs w:val="24"/>
        </w:rPr>
      </w:pPr>
    </w:p>
    <w:p w:rsidR="007937DB" w:rsidRDefault="007937DB" w:rsidP="007937DB">
      <w:pPr>
        <w:spacing w:line="276" w:lineRule="auto"/>
        <w:jc w:val="center"/>
        <w:rPr>
          <w:rFonts w:asciiTheme="minorHAnsi" w:hAnsiTheme="minorHAnsi" w:cstheme="minorHAnsi"/>
          <w:b/>
          <w:bCs/>
          <w:i/>
          <w:iCs/>
          <w:sz w:val="28"/>
          <w:szCs w:val="24"/>
        </w:rPr>
      </w:pPr>
      <w:r w:rsidRPr="007937DB">
        <w:rPr>
          <w:rFonts w:asciiTheme="minorHAnsi" w:hAnsiTheme="minorHAnsi" w:cstheme="minorHAnsi"/>
          <w:b/>
          <w:bCs/>
          <w:i/>
          <w:iCs/>
          <w:sz w:val="28"/>
          <w:szCs w:val="24"/>
        </w:rPr>
        <w:t>“Sostenibilità e Innovazione”</w:t>
      </w:r>
      <w:r w:rsidRPr="007937DB">
        <w:rPr>
          <w:rFonts w:asciiTheme="minorHAnsi" w:hAnsiTheme="minorHAnsi" w:cstheme="minorHAnsi"/>
          <w:b/>
          <w:bCs/>
          <w:i/>
          <w:iCs/>
          <w:sz w:val="28"/>
          <w:szCs w:val="24"/>
        </w:rPr>
        <w:t xml:space="preserve">: webinar organizzato </w:t>
      </w:r>
    </w:p>
    <w:p w:rsidR="007937DB" w:rsidRDefault="007937DB" w:rsidP="007937DB">
      <w:pPr>
        <w:spacing w:line="276" w:lineRule="auto"/>
        <w:jc w:val="center"/>
        <w:rPr>
          <w:rFonts w:asciiTheme="minorHAnsi" w:hAnsiTheme="minorHAnsi" w:cstheme="minorHAnsi"/>
          <w:b/>
          <w:bCs/>
          <w:i/>
          <w:iCs/>
          <w:sz w:val="28"/>
          <w:szCs w:val="24"/>
        </w:rPr>
      </w:pPr>
      <w:r w:rsidRPr="007937DB">
        <w:rPr>
          <w:rFonts w:asciiTheme="minorHAnsi" w:hAnsiTheme="minorHAnsi" w:cstheme="minorHAnsi"/>
          <w:b/>
          <w:bCs/>
          <w:i/>
          <w:iCs/>
          <w:sz w:val="28"/>
          <w:szCs w:val="24"/>
        </w:rPr>
        <w:t xml:space="preserve">da </w:t>
      </w:r>
    </w:p>
    <w:p w:rsidR="007937DB" w:rsidRPr="007937DB" w:rsidRDefault="007937DB" w:rsidP="007937DB">
      <w:pPr>
        <w:spacing w:line="276" w:lineRule="auto"/>
        <w:jc w:val="center"/>
        <w:rPr>
          <w:rFonts w:asciiTheme="minorHAnsi" w:hAnsiTheme="minorHAnsi" w:cstheme="minorHAnsi"/>
          <w:b/>
          <w:bCs/>
          <w:i/>
          <w:iCs/>
          <w:sz w:val="28"/>
          <w:szCs w:val="24"/>
        </w:rPr>
      </w:pPr>
      <w:r w:rsidRPr="007937DB">
        <w:rPr>
          <w:rFonts w:asciiTheme="minorHAnsi" w:hAnsiTheme="minorHAnsi" w:cstheme="minorHAnsi"/>
          <w:b/>
          <w:bCs/>
          <w:i/>
          <w:iCs/>
          <w:sz w:val="28"/>
          <w:szCs w:val="24"/>
        </w:rPr>
        <w:t>Fondazione Umberto Veronesi</w:t>
      </w:r>
    </w:p>
    <w:p w:rsidR="007937DB" w:rsidRPr="007937DB" w:rsidRDefault="007937DB" w:rsidP="007937DB">
      <w:pPr>
        <w:spacing w:line="276" w:lineRule="auto"/>
        <w:jc w:val="center"/>
        <w:rPr>
          <w:rFonts w:asciiTheme="minorHAnsi" w:hAnsiTheme="minorHAnsi" w:cstheme="minorHAnsi"/>
          <w:b/>
          <w:bCs/>
          <w:i/>
          <w:iCs/>
          <w:sz w:val="28"/>
          <w:szCs w:val="24"/>
        </w:rPr>
      </w:pPr>
      <w:r w:rsidRPr="007937DB">
        <w:rPr>
          <w:rFonts w:asciiTheme="minorHAnsi" w:hAnsiTheme="minorHAnsi" w:cstheme="minorHAnsi"/>
          <w:b/>
          <w:bCs/>
          <w:i/>
          <w:iCs/>
          <w:sz w:val="28"/>
          <w:szCs w:val="24"/>
        </w:rPr>
        <w:t>Mercoledì 2 dicembre 2020, dalle ore 18.00 alle ore 19.00</w:t>
      </w:r>
    </w:p>
    <w:p w:rsidR="00F8608F" w:rsidRPr="00F8608F" w:rsidRDefault="00F8608F" w:rsidP="00F8608F">
      <w:pPr>
        <w:spacing w:line="276" w:lineRule="auto"/>
        <w:jc w:val="both"/>
        <w:rPr>
          <w:rFonts w:asciiTheme="minorHAnsi" w:hAnsiTheme="minorHAnsi" w:cstheme="minorHAnsi"/>
          <w:sz w:val="24"/>
          <w:szCs w:val="24"/>
        </w:rPr>
      </w:pPr>
    </w:p>
    <w:p w:rsidR="00F8608F" w:rsidRPr="007937DB" w:rsidRDefault="00F8608F" w:rsidP="00577AB6">
      <w:pPr>
        <w:spacing w:line="276" w:lineRule="auto"/>
        <w:contextualSpacing/>
        <w:jc w:val="both"/>
        <w:rPr>
          <w:rFonts w:asciiTheme="minorHAnsi" w:hAnsiTheme="minorHAnsi" w:cstheme="minorHAnsi"/>
          <w:sz w:val="24"/>
          <w:szCs w:val="24"/>
        </w:rPr>
      </w:pPr>
      <w:r w:rsidRPr="007937DB">
        <w:rPr>
          <w:rFonts w:asciiTheme="minorHAnsi" w:hAnsiTheme="minorHAnsi" w:cstheme="minorHAnsi"/>
          <w:sz w:val="24"/>
          <w:szCs w:val="24"/>
        </w:rPr>
        <w:t>Alcuni filoni di pensiero, a volte anche con ampia diffusione sui media, ritengono che sostenibilità (non solo ambientale) e progresso e sviluppo tecnologico siano in trade off. Secondo tale interpretazione, per conseguenza, innovazione e sostenibilità sarebbero antitetiche, e di conseguenza l’unico modo per essere sostenibile sarebbe quello di un qualche ritorno al passato.</w:t>
      </w:r>
    </w:p>
    <w:p w:rsidR="007937DB" w:rsidRPr="007937DB" w:rsidRDefault="007937DB" w:rsidP="00577AB6">
      <w:pPr>
        <w:contextualSpacing/>
        <w:jc w:val="both"/>
        <w:rPr>
          <w:rFonts w:asciiTheme="minorHAnsi" w:hAnsiTheme="minorHAnsi" w:cstheme="minorHAnsi"/>
          <w:sz w:val="24"/>
          <w:szCs w:val="24"/>
        </w:rPr>
      </w:pPr>
    </w:p>
    <w:p w:rsidR="00F8608F" w:rsidRPr="007937DB" w:rsidRDefault="00F8608F" w:rsidP="00577AB6">
      <w:pPr>
        <w:contextualSpacing/>
        <w:jc w:val="both"/>
        <w:rPr>
          <w:rFonts w:asciiTheme="minorHAnsi" w:hAnsiTheme="minorHAnsi" w:cstheme="minorHAnsi"/>
          <w:sz w:val="24"/>
          <w:szCs w:val="24"/>
          <w:lang w:eastAsia="it-IT"/>
        </w:rPr>
      </w:pPr>
      <w:r w:rsidRPr="007937DB">
        <w:rPr>
          <w:rFonts w:asciiTheme="minorHAnsi" w:hAnsiTheme="minorHAnsi" w:cstheme="minorHAnsi"/>
          <w:sz w:val="24"/>
          <w:szCs w:val="24"/>
        </w:rPr>
        <w:t>Nel dibattito si confuterà questa tesi per avanzarne una contraria, secondo la quale non solo innovazione e sostenibilità non sarebbero in trade off, ma anzi si alimenterebbero reciprocamente in una spirale positiva, che vede nell’innovazione un motore che alimenta la sostenibilità all’interno di un panorama di sviluppo economico, a</w:t>
      </w:r>
      <w:r w:rsidRPr="007937DB">
        <w:rPr>
          <w:rFonts w:asciiTheme="minorHAnsi" w:hAnsiTheme="minorHAnsi" w:cstheme="minorHAnsi"/>
          <w:sz w:val="24"/>
          <w:szCs w:val="24"/>
          <w:lang w:eastAsia="it-IT"/>
        </w:rPr>
        <w:t xml:space="preserve">ncor più nel periodo dell'attuale emergenza sanitaria </w:t>
      </w:r>
      <w:r w:rsidR="007937DB" w:rsidRPr="007937DB">
        <w:rPr>
          <w:rFonts w:asciiTheme="minorHAnsi" w:hAnsiTheme="minorHAnsi" w:cstheme="minorHAnsi"/>
          <w:sz w:val="24"/>
          <w:szCs w:val="24"/>
          <w:lang w:eastAsia="it-IT"/>
        </w:rPr>
        <w:t xml:space="preserve">da </w:t>
      </w:r>
      <w:r w:rsidRPr="007937DB">
        <w:rPr>
          <w:rFonts w:asciiTheme="minorHAnsi" w:hAnsiTheme="minorHAnsi" w:cstheme="minorHAnsi"/>
          <w:sz w:val="24"/>
          <w:szCs w:val="24"/>
          <w:lang w:eastAsia="it-IT"/>
        </w:rPr>
        <w:t>Covid-19.</w:t>
      </w:r>
    </w:p>
    <w:p w:rsidR="007937DB" w:rsidRPr="007937DB" w:rsidRDefault="007937DB" w:rsidP="00577AB6">
      <w:pPr>
        <w:contextualSpacing/>
        <w:jc w:val="both"/>
        <w:rPr>
          <w:rFonts w:asciiTheme="minorHAnsi" w:hAnsiTheme="minorHAnsi" w:cstheme="minorHAnsi"/>
          <w:sz w:val="24"/>
          <w:szCs w:val="24"/>
        </w:rPr>
      </w:pPr>
    </w:p>
    <w:p w:rsidR="00F8608F" w:rsidRPr="007937DB" w:rsidRDefault="00F8608F" w:rsidP="00577AB6">
      <w:pPr>
        <w:spacing w:line="276" w:lineRule="auto"/>
        <w:contextualSpacing/>
        <w:jc w:val="both"/>
        <w:rPr>
          <w:rFonts w:asciiTheme="minorHAnsi" w:hAnsiTheme="minorHAnsi" w:cstheme="minorHAnsi"/>
          <w:sz w:val="24"/>
          <w:szCs w:val="24"/>
        </w:rPr>
      </w:pPr>
      <w:r w:rsidRPr="007937DB">
        <w:rPr>
          <w:rFonts w:asciiTheme="minorHAnsi" w:hAnsiTheme="minorHAnsi" w:cstheme="minorHAnsi"/>
          <w:sz w:val="24"/>
          <w:szCs w:val="24"/>
        </w:rPr>
        <w:t>Gli studi sull’innovazione modellizzano differenti tipologie di innovazione</w:t>
      </w:r>
      <w:r w:rsidR="007937DB" w:rsidRPr="007937DB">
        <w:rPr>
          <w:rFonts w:asciiTheme="minorHAnsi" w:hAnsiTheme="minorHAnsi" w:cstheme="minorHAnsi"/>
          <w:sz w:val="24"/>
          <w:szCs w:val="24"/>
        </w:rPr>
        <w:t xml:space="preserve"> </w:t>
      </w:r>
      <w:r w:rsidRPr="007937DB">
        <w:rPr>
          <w:rFonts w:asciiTheme="minorHAnsi" w:hAnsiTheme="minorHAnsi" w:cstheme="minorHAnsi"/>
          <w:sz w:val="24"/>
          <w:szCs w:val="24"/>
        </w:rPr>
        <w:t>di prodotto e di processo, radicale ed incrementale:</w:t>
      </w:r>
    </w:p>
    <w:p w:rsidR="00F8608F" w:rsidRPr="007937DB" w:rsidRDefault="00F8608F" w:rsidP="00577AB6">
      <w:pPr>
        <w:pStyle w:val="Paragrafoelenco"/>
        <w:numPr>
          <w:ilvl w:val="0"/>
          <w:numId w:val="4"/>
        </w:numPr>
        <w:spacing w:line="276" w:lineRule="auto"/>
        <w:jc w:val="both"/>
        <w:rPr>
          <w:rFonts w:asciiTheme="minorHAnsi" w:eastAsia="Times New Roman" w:hAnsiTheme="minorHAnsi" w:cstheme="minorHAnsi"/>
          <w:sz w:val="24"/>
          <w:szCs w:val="24"/>
        </w:rPr>
      </w:pPr>
      <w:r w:rsidRPr="007937DB">
        <w:rPr>
          <w:rFonts w:asciiTheme="minorHAnsi" w:eastAsia="Times New Roman" w:hAnsiTheme="minorHAnsi" w:cstheme="minorHAnsi"/>
          <w:sz w:val="24"/>
          <w:szCs w:val="24"/>
        </w:rPr>
        <w:t xml:space="preserve">l’innovazione tecnologica tout court da cui originano processi e prodotti tecnologicamente innovativi. </w:t>
      </w:r>
    </w:p>
    <w:p w:rsidR="00F8608F" w:rsidRPr="007937DB" w:rsidRDefault="00F8608F" w:rsidP="00577AB6">
      <w:pPr>
        <w:pStyle w:val="Paragrafoelenco"/>
        <w:numPr>
          <w:ilvl w:val="0"/>
          <w:numId w:val="4"/>
        </w:numPr>
        <w:spacing w:line="276" w:lineRule="auto"/>
        <w:jc w:val="both"/>
        <w:rPr>
          <w:rFonts w:asciiTheme="minorHAnsi" w:eastAsia="Times New Roman" w:hAnsiTheme="minorHAnsi" w:cstheme="minorHAnsi"/>
          <w:sz w:val="24"/>
          <w:szCs w:val="24"/>
        </w:rPr>
      </w:pPr>
      <w:r w:rsidRPr="007937DB">
        <w:rPr>
          <w:rFonts w:asciiTheme="minorHAnsi" w:eastAsia="Times New Roman" w:hAnsiTheme="minorHAnsi" w:cstheme="minorHAnsi"/>
          <w:sz w:val="24"/>
          <w:szCs w:val="24"/>
        </w:rPr>
        <w:t xml:space="preserve">l’innovazione strategica e commerciale, che riconfigura i modelli di business delle imprese e le modalità con le quali conseguono i vantaggi competitivi. </w:t>
      </w:r>
    </w:p>
    <w:p w:rsidR="00F8608F" w:rsidRPr="007937DB" w:rsidRDefault="00F8608F" w:rsidP="00577AB6">
      <w:pPr>
        <w:pStyle w:val="Paragrafoelenco"/>
        <w:numPr>
          <w:ilvl w:val="0"/>
          <w:numId w:val="4"/>
        </w:numPr>
        <w:spacing w:line="276" w:lineRule="auto"/>
        <w:jc w:val="both"/>
        <w:rPr>
          <w:rFonts w:asciiTheme="minorHAnsi" w:hAnsiTheme="minorHAnsi" w:cstheme="minorHAnsi"/>
          <w:sz w:val="24"/>
          <w:szCs w:val="24"/>
        </w:rPr>
      </w:pPr>
      <w:r w:rsidRPr="007937DB">
        <w:rPr>
          <w:rFonts w:asciiTheme="minorHAnsi" w:hAnsiTheme="minorHAnsi" w:cstheme="minorHAnsi"/>
          <w:sz w:val="24"/>
          <w:szCs w:val="24"/>
        </w:rPr>
        <w:t xml:space="preserve">l’innovazione organizzativa delle imprese, facilitata dall’adozione anche di nuove tecnologie, che innova i modelli di lavoro all’interno delle e con le imprese. </w:t>
      </w:r>
    </w:p>
    <w:p w:rsidR="00F8608F" w:rsidRPr="007937DB" w:rsidRDefault="00F8608F" w:rsidP="00577AB6">
      <w:pPr>
        <w:spacing w:line="276" w:lineRule="auto"/>
        <w:contextualSpacing/>
        <w:jc w:val="both"/>
        <w:rPr>
          <w:rFonts w:asciiTheme="minorHAnsi" w:hAnsiTheme="minorHAnsi" w:cstheme="minorHAnsi"/>
          <w:sz w:val="24"/>
          <w:szCs w:val="24"/>
        </w:rPr>
      </w:pPr>
    </w:p>
    <w:p w:rsidR="00F8608F" w:rsidRPr="007937DB" w:rsidRDefault="007937DB" w:rsidP="00577AB6">
      <w:pPr>
        <w:spacing w:line="276" w:lineRule="auto"/>
        <w:jc w:val="both"/>
        <w:rPr>
          <w:b/>
          <w:i/>
          <w:sz w:val="24"/>
          <w:szCs w:val="24"/>
        </w:rPr>
      </w:pPr>
      <w:r w:rsidRPr="007937DB">
        <w:rPr>
          <w:b/>
          <w:i/>
          <w:sz w:val="24"/>
          <w:szCs w:val="24"/>
        </w:rPr>
        <w:t>Il curatore e gli autori del volume</w:t>
      </w:r>
    </w:p>
    <w:p w:rsidR="005468D2" w:rsidRPr="007937DB" w:rsidRDefault="00F8608F" w:rsidP="00577AB6">
      <w:pPr>
        <w:spacing w:line="276" w:lineRule="auto"/>
        <w:contextualSpacing/>
        <w:jc w:val="both"/>
        <w:rPr>
          <w:rFonts w:asciiTheme="minorHAnsi" w:hAnsiTheme="minorHAnsi" w:cstheme="minorHAnsi"/>
          <w:sz w:val="24"/>
          <w:szCs w:val="24"/>
        </w:rPr>
      </w:pPr>
      <w:r w:rsidRPr="007937DB">
        <w:rPr>
          <w:rFonts w:asciiTheme="minorHAnsi" w:hAnsiTheme="minorHAnsi" w:cstheme="minorHAnsi"/>
          <w:sz w:val="24"/>
          <w:szCs w:val="24"/>
        </w:rPr>
        <w:t xml:space="preserve">Il curatore della collana Marketing e Responsabilità Sociale, edita da </w:t>
      </w:r>
      <w:proofErr w:type="spellStart"/>
      <w:r w:rsidRPr="007937DB">
        <w:rPr>
          <w:rFonts w:asciiTheme="minorHAnsi" w:hAnsiTheme="minorHAnsi" w:cstheme="minorHAnsi"/>
          <w:sz w:val="24"/>
          <w:szCs w:val="24"/>
        </w:rPr>
        <w:t>Pearson</w:t>
      </w:r>
      <w:proofErr w:type="spellEnd"/>
      <w:r w:rsidRPr="007937DB">
        <w:rPr>
          <w:rFonts w:asciiTheme="minorHAnsi" w:hAnsiTheme="minorHAnsi" w:cstheme="minorHAnsi"/>
          <w:sz w:val="24"/>
          <w:szCs w:val="24"/>
        </w:rPr>
        <w:t xml:space="preserve">, è Fabio Ancarani. Fabio Ancarani, Associate Dean di Bologna Business School, detiene la cattedra di Marketing presso Alma Mater Studiorum, Università di Bologna. Con una quasi trentennale esperienza di ricerca ed insegnamento in Università e Business School, nonché di </w:t>
      </w:r>
      <w:proofErr w:type="spellStart"/>
      <w:r w:rsidRPr="007937DB">
        <w:rPr>
          <w:rFonts w:asciiTheme="minorHAnsi" w:hAnsiTheme="minorHAnsi" w:cstheme="minorHAnsi"/>
          <w:sz w:val="24"/>
          <w:szCs w:val="24"/>
        </w:rPr>
        <w:t>advising</w:t>
      </w:r>
      <w:proofErr w:type="spellEnd"/>
      <w:r w:rsidRPr="007937DB">
        <w:rPr>
          <w:rFonts w:asciiTheme="minorHAnsi" w:hAnsiTheme="minorHAnsi" w:cstheme="minorHAnsi"/>
          <w:sz w:val="24"/>
          <w:szCs w:val="24"/>
        </w:rPr>
        <w:t xml:space="preserve"> e consulenza strategica, è da alcuni anni con </w:t>
      </w:r>
      <w:proofErr w:type="spellStart"/>
      <w:r w:rsidRPr="007937DB">
        <w:rPr>
          <w:rFonts w:asciiTheme="minorHAnsi" w:hAnsiTheme="minorHAnsi" w:cstheme="minorHAnsi"/>
          <w:sz w:val="24"/>
          <w:szCs w:val="24"/>
        </w:rPr>
        <w:t>Pearson</w:t>
      </w:r>
      <w:proofErr w:type="spellEnd"/>
      <w:r w:rsidRPr="007937DB">
        <w:rPr>
          <w:rFonts w:asciiTheme="minorHAnsi" w:hAnsiTheme="minorHAnsi" w:cstheme="minorHAnsi"/>
          <w:sz w:val="24"/>
          <w:szCs w:val="24"/>
        </w:rPr>
        <w:t xml:space="preserve"> il coautore italiano del Prof.</w:t>
      </w:r>
      <w:r w:rsidR="008C707E" w:rsidRPr="007937DB">
        <w:rPr>
          <w:rFonts w:asciiTheme="minorHAnsi" w:hAnsiTheme="minorHAnsi" w:cstheme="minorHAnsi"/>
          <w:sz w:val="24"/>
          <w:szCs w:val="24"/>
        </w:rPr>
        <w:t xml:space="preserve"> Philip</w:t>
      </w:r>
      <w:r w:rsidRPr="007937DB">
        <w:rPr>
          <w:rFonts w:asciiTheme="minorHAnsi" w:hAnsiTheme="minorHAnsi" w:cstheme="minorHAnsi"/>
          <w:sz w:val="24"/>
          <w:szCs w:val="24"/>
        </w:rPr>
        <w:t xml:space="preserve"> </w:t>
      </w:r>
      <w:proofErr w:type="spellStart"/>
      <w:r w:rsidRPr="007937DB">
        <w:rPr>
          <w:rFonts w:asciiTheme="minorHAnsi" w:hAnsiTheme="minorHAnsi" w:cstheme="minorHAnsi"/>
          <w:sz w:val="24"/>
          <w:szCs w:val="24"/>
        </w:rPr>
        <w:t>Kotler</w:t>
      </w:r>
      <w:proofErr w:type="spellEnd"/>
      <w:r w:rsidRPr="007937DB">
        <w:rPr>
          <w:rFonts w:asciiTheme="minorHAnsi" w:hAnsiTheme="minorHAnsi" w:cstheme="minorHAnsi"/>
          <w:sz w:val="24"/>
          <w:szCs w:val="24"/>
        </w:rPr>
        <w:t xml:space="preserve"> per i suoi differenti manuali di Marketing Management ed è attualmente in corso di pubblicazione con Egea di un saggio sul Post </w:t>
      </w:r>
      <w:proofErr w:type="spellStart"/>
      <w:r w:rsidRPr="007937DB">
        <w:rPr>
          <w:rFonts w:asciiTheme="minorHAnsi" w:hAnsiTheme="minorHAnsi" w:cstheme="minorHAnsi"/>
          <w:sz w:val="24"/>
          <w:szCs w:val="24"/>
        </w:rPr>
        <w:t>Covid</w:t>
      </w:r>
      <w:proofErr w:type="spellEnd"/>
      <w:r w:rsidRPr="007937DB">
        <w:rPr>
          <w:rFonts w:asciiTheme="minorHAnsi" w:hAnsiTheme="minorHAnsi" w:cstheme="minorHAnsi"/>
          <w:sz w:val="24"/>
          <w:szCs w:val="24"/>
        </w:rPr>
        <w:t xml:space="preserve"> Marketing.</w:t>
      </w:r>
    </w:p>
    <w:p w:rsidR="007937DB" w:rsidRPr="007937DB" w:rsidRDefault="007937DB" w:rsidP="00577AB6">
      <w:pPr>
        <w:spacing w:line="276" w:lineRule="auto"/>
        <w:contextualSpacing/>
        <w:jc w:val="both"/>
        <w:rPr>
          <w:rFonts w:asciiTheme="minorHAnsi" w:hAnsiTheme="minorHAnsi" w:cstheme="minorHAnsi"/>
          <w:sz w:val="24"/>
          <w:szCs w:val="24"/>
        </w:rPr>
      </w:pPr>
    </w:p>
    <w:p w:rsidR="007937DB" w:rsidRPr="007937DB" w:rsidRDefault="007937DB" w:rsidP="007937DB">
      <w:pPr>
        <w:spacing w:line="276" w:lineRule="auto"/>
        <w:jc w:val="both"/>
        <w:rPr>
          <w:sz w:val="24"/>
          <w:szCs w:val="24"/>
        </w:rPr>
      </w:pPr>
      <w:r w:rsidRPr="007937DB">
        <w:rPr>
          <w:sz w:val="24"/>
          <w:szCs w:val="24"/>
        </w:rPr>
        <w:t>Durante l’incontro verrà presentato il nuovo manuale, che</w:t>
      </w:r>
      <w:r w:rsidRPr="007937DB">
        <w:rPr>
          <w:sz w:val="24"/>
          <w:szCs w:val="24"/>
        </w:rPr>
        <w:t xml:space="preserve"> potrà essere scaricato gratuitamente sul sito </w:t>
      </w:r>
      <w:hyperlink r:id="rId6" w:history="1">
        <w:r w:rsidRPr="007937DB">
          <w:rPr>
            <w:rStyle w:val="Collegamentoipertestuale"/>
            <w:sz w:val="24"/>
            <w:szCs w:val="24"/>
          </w:rPr>
          <w:t>www.fondazioneveronesi.it</w:t>
        </w:r>
      </w:hyperlink>
      <w:r w:rsidRPr="007937DB">
        <w:rPr>
          <w:sz w:val="24"/>
          <w:szCs w:val="24"/>
        </w:rPr>
        <w:t xml:space="preserve"> a partire da mercoledì 2 dicembre 2020.</w:t>
      </w:r>
    </w:p>
    <w:p w:rsidR="007937DB" w:rsidRPr="007937DB" w:rsidRDefault="007937DB" w:rsidP="007937DB">
      <w:pPr>
        <w:spacing w:line="276" w:lineRule="auto"/>
        <w:jc w:val="both"/>
        <w:rPr>
          <w:sz w:val="24"/>
          <w:szCs w:val="24"/>
        </w:rPr>
      </w:pPr>
    </w:p>
    <w:p w:rsidR="007937DB" w:rsidRPr="007937DB" w:rsidRDefault="007937DB" w:rsidP="007937DB">
      <w:pPr>
        <w:spacing w:line="276" w:lineRule="auto"/>
        <w:jc w:val="both"/>
        <w:rPr>
          <w:rFonts w:asciiTheme="minorHAnsi" w:hAnsiTheme="minorHAnsi" w:cstheme="minorHAnsi"/>
          <w:b/>
          <w:bCs/>
          <w:i/>
          <w:iCs/>
          <w:sz w:val="24"/>
          <w:szCs w:val="24"/>
        </w:rPr>
      </w:pPr>
      <w:r w:rsidRPr="007937DB">
        <w:rPr>
          <w:rFonts w:asciiTheme="minorHAnsi" w:hAnsiTheme="minorHAnsi" w:cstheme="minorHAnsi"/>
          <w:b/>
          <w:bCs/>
          <w:i/>
          <w:iCs/>
          <w:sz w:val="24"/>
          <w:szCs w:val="24"/>
        </w:rPr>
        <w:t xml:space="preserve">Link per partecipare: </w:t>
      </w:r>
      <w:hyperlink r:id="rId7" w:history="1">
        <w:r w:rsidR="00EB6506" w:rsidRPr="00EB6506">
          <w:rPr>
            <w:rStyle w:val="Collegamentoipertestuale"/>
            <w:rFonts w:asciiTheme="minorHAnsi" w:hAnsiTheme="minorHAnsi" w:cstheme="minorHAnsi"/>
            <w:b/>
            <w:bCs/>
            <w:i/>
            <w:iCs/>
            <w:sz w:val="24"/>
            <w:szCs w:val="24"/>
          </w:rPr>
          <w:t>https://insieme.fondazioneveronesi.it/campaign/webinar-sostenibilita-e-innovazione-accelerazioni/</w:t>
        </w:r>
      </w:hyperlink>
    </w:p>
    <w:p w:rsidR="007937DB" w:rsidRPr="00F8608F" w:rsidRDefault="007937DB" w:rsidP="00577AB6">
      <w:pPr>
        <w:spacing w:line="276" w:lineRule="auto"/>
        <w:contextualSpacing/>
        <w:jc w:val="both"/>
        <w:rPr>
          <w:rFonts w:asciiTheme="minorHAnsi" w:hAnsiTheme="minorHAnsi" w:cstheme="minorHAnsi"/>
          <w:sz w:val="24"/>
          <w:szCs w:val="24"/>
        </w:rPr>
      </w:pPr>
      <w:bookmarkStart w:id="0" w:name="_GoBack"/>
      <w:bookmarkEnd w:id="0"/>
    </w:p>
    <w:sectPr w:rsidR="007937DB" w:rsidRPr="00F8608F" w:rsidSect="007937DB">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A482B"/>
    <w:multiLevelType w:val="hybridMultilevel"/>
    <w:tmpl w:val="B68C9B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A4D174D"/>
    <w:multiLevelType w:val="hybridMultilevel"/>
    <w:tmpl w:val="36EC8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F70043"/>
    <w:multiLevelType w:val="hybridMultilevel"/>
    <w:tmpl w:val="87A09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E9"/>
    <w:rsid w:val="005468D2"/>
    <w:rsid w:val="00577AB6"/>
    <w:rsid w:val="00722EC0"/>
    <w:rsid w:val="007937DB"/>
    <w:rsid w:val="008C707E"/>
    <w:rsid w:val="00BC7450"/>
    <w:rsid w:val="00BD0A31"/>
    <w:rsid w:val="00C948E9"/>
    <w:rsid w:val="00E112B1"/>
    <w:rsid w:val="00EB6506"/>
    <w:rsid w:val="00F86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772EC"/>
  <w15:chartTrackingRefBased/>
  <w15:docId w15:val="{A429566E-9385-4D53-9408-F6157EA4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48E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608F"/>
    <w:pPr>
      <w:ind w:left="720"/>
      <w:contextualSpacing/>
    </w:pPr>
  </w:style>
  <w:style w:type="character" w:styleId="Collegamentoipertestuale">
    <w:name w:val="Hyperlink"/>
    <w:rsid w:val="007937DB"/>
    <w:rPr>
      <w:color w:val="0563C1"/>
      <w:u w:val="single"/>
    </w:rPr>
  </w:style>
  <w:style w:type="character" w:styleId="Menzionenonrisolta">
    <w:name w:val="Unresolved Mention"/>
    <w:basedOn w:val="Carpredefinitoparagrafo"/>
    <w:uiPriority w:val="99"/>
    <w:semiHidden/>
    <w:unhideWhenUsed/>
    <w:rsid w:val="00EB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648746">
      <w:bodyDiv w:val="1"/>
      <w:marLeft w:val="0"/>
      <w:marRight w:val="0"/>
      <w:marTop w:val="0"/>
      <w:marBottom w:val="0"/>
      <w:divBdr>
        <w:top w:val="none" w:sz="0" w:space="0" w:color="auto"/>
        <w:left w:val="none" w:sz="0" w:space="0" w:color="auto"/>
        <w:bottom w:val="none" w:sz="0" w:space="0" w:color="auto"/>
        <w:right w:val="none" w:sz="0" w:space="0" w:color="auto"/>
      </w:divBdr>
    </w:div>
    <w:div w:id="21383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ieme.fondazioneveronesi.it/campaign/webinar-sostenibilita-e-innovazione-accelerazi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zioneverones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Invernizzi</dc:creator>
  <cp:keywords/>
  <dc:description/>
  <cp:lastModifiedBy>Elisa Invernizzi</cp:lastModifiedBy>
  <cp:revision>10</cp:revision>
  <dcterms:created xsi:type="dcterms:W3CDTF">2020-11-16T08:21:00Z</dcterms:created>
  <dcterms:modified xsi:type="dcterms:W3CDTF">2020-11-17T10:59:00Z</dcterms:modified>
</cp:coreProperties>
</file>